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rFonts w:ascii="Spectral" w:cs="Spectral" w:eastAsia="Spectral" w:hAnsi="Spectral"/>
          <w:color w:val="c27ba0"/>
        </w:rPr>
      </w:pPr>
      <w:bookmarkStart w:colFirst="0" w:colLast="0" w:name="_aczyuw2yex2w" w:id="0"/>
      <w:bookmarkEnd w:id="0"/>
      <w:r w:rsidDel="00000000" w:rsidR="00000000" w:rsidRPr="00000000">
        <w:rPr>
          <w:rFonts w:ascii="Comfortaa" w:cs="Comfortaa" w:eastAsia="Comfortaa" w:hAnsi="Comfortaa"/>
          <w:sz w:val="46"/>
          <w:szCs w:val="46"/>
          <w:rtl w:val="0"/>
        </w:rPr>
        <w:t xml:space="preserve">What’s after SDGs?</w:t>
      </w:r>
      <w:r w:rsidDel="00000000" w:rsidR="00000000" w:rsidRPr="00000000">
        <w:rPr>
          <w:rFonts w:ascii="Comfortaa" w:cs="Comfortaa" w:eastAsia="Comfortaa" w:hAnsi="Comfortaa"/>
          <w:color w:val="404040"/>
          <w:sz w:val="46"/>
          <w:szCs w:val="46"/>
          <w:rtl w:val="0"/>
        </w:rPr>
        <w:br w:type="textWrapping"/>
      </w:r>
      <w:r w:rsidDel="00000000" w:rsidR="00000000" w:rsidRPr="00000000">
        <w:rPr>
          <w:rFonts w:ascii="Spectral" w:cs="Spectral" w:eastAsia="Spectral" w:hAnsi="Spectral"/>
          <w:color w:val="c27ba0"/>
          <w:rtl w:val="0"/>
        </w:rPr>
        <w:t xml:space="preserve">Gender Equality in the workplace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40"/>
          <w:szCs w:val="40"/>
        </w:rPr>
      </w:pPr>
      <w:r w:rsidDel="00000000" w:rsidR="00000000" w:rsidRPr="00000000">
        <w:rPr>
          <w:sz w:val="40"/>
          <w:szCs w:val="40"/>
          <w:rtl w:val="0"/>
        </w:rPr>
        <w:t xml:space="preserve">-We think that SDG 5, Gender Equality, is a high possibility to achieve until 2030, in comparison with other goals. Then, we should consider how to improve it after achieving, after 2030.</w:t>
      </w:r>
    </w:p>
    <w:p w:rsidR="00000000" w:rsidDel="00000000" w:rsidP="00000000" w:rsidRDefault="00000000" w:rsidRPr="00000000" w14:paraId="00000004">
      <w:pPr>
        <w:rPr>
          <w:sz w:val="40"/>
          <w:szCs w:val="40"/>
        </w:rPr>
      </w:pPr>
      <w:r w:rsidDel="00000000" w:rsidR="00000000" w:rsidRPr="00000000">
        <w:rPr>
          <w:rtl w:val="0"/>
        </w:rPr>
      </w:r>
    </w:p>
    <w:p w:rsidR="00000000" w:rsidDel="00000000" w:rsidP="00000000" w:rsidRDefault="00000000" w:rsidRPr="00000000" w14:paraId="00000005">
      <w:pPr>
        <w:rPr>
          <w:sz w:val="40"/>
          <w:szCs w:val="40"/>
        </w:rPr>
      </w:pPr>
      <w:r w:rsidDel="00000000" w:rsidR="00000000" w:rsidRPr="00000000">
        <w:rPr>
          <w:rtl w:val="0"/>
        </w:rPr>
      </w:r>
    </w:p>
    <w:p w:rsidR="00000000" w:rsidDel="00000000" w:rsidP="00000000" w:rsidRDefault="00000000" w:rsidRPr="00000000" w14:paraId="00000006">
      <w:pPr>
        <w:jc w:val="right"/>
        <w:rPr>
          <w:rFonts w:ascii="Proxima Nova" w:cs="Proxima Nova" w:eastAsia="Proxima Nova" w:hAnsi="Proxima Nova"/>
          <w:sz w:val="72"/>
          <w:szCs w:val="72"/>
        </w:rPr>
      </w:pPr>
      <w:r w:rsidDel="00000000" w:rsidR="00000000" w:rsidRPr="00000000">
        <w:rPr>
          <w:sz w:val="32"/>
          <w:szCs w:val="32"/>
          <w:rtl w:val="0"/>
        </w:rPr>
        <w:t xml:space="preserve">Miyabi, Haruna, Karin, Yui, Kinari, Ami</w:t>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200" w:line="300" w:lineRule="auto"/>
        <w:rPr>
          <w:rFonts w:ascii="Proxima Nova" w:cs="Proxima Nova" w:eastAsia="Proxima Nova" w:hAnsi="Proxima Nova"/>
        </w:rPr>
      </w:pPr>
      <w:r w:rsidDel="00000000" w:rsidR="00000000" w:rsidRPr="00000000">
        <w:br w:type="page"/>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-1025235</wp:posOffset>
            </wp:positionH>
            <wp:positionV relativeFrom="paragraph">
              <wp:posOffset>2339116</wp:posOffset>
            </wp:positionV>
            <wp:extent cx="7781925" cy="1077762"/>
            <wp:effectExtent b="0" l="0" r="0" t="0"/>
            <wp:wrapTopAndBottom distB="0" distT="0"/>
            <wp:docPr descr="footer" id="2" name="image4.jpg"/>
            <a:graphic>
              <a:graphicData uri="http://schemas.openxmlformats.org/drawingml/2006/picture">
                <pic:pic>
                  <pic:nvPicPr>
                    <pic:cNvPr descr="footer" id="0" name="image4.jpg"/>
                    <pic:cNvPicPr preferRelativeResize="0"/>
                  </pic:nvPicPr>
                  <pic:blipFill>
                    <a:blip r:embed="rId6"/>
                    <a:srcRect b="48520" l="0" r="0" t="48520"/>
                    <a:stretch>
                      <a:fillRect/>
                    </a:stretch>
                  </pic:blipFill>
                  <pic:spPr>
                    <a:xfrm>
                      <a:off x="0" y="0"/>
                      <a:ext cx="7781925" cy="1077762"/>
                    </a:xfrm>
                    <a:prstGeom prst="rect"/>
                    <a:ln/>
                  </pic:spPr>
                </pic:pic>
              </a:graphicData>
            </a:graphic>
          </wp:anchor>
        </w:drawing>
      </w:r>
    </w:p>
    <w:p w:rsidR="00000000" w:rsidDel="00000000" w:rsidP="00000000" w:rsidRDefault="00000000" w:rsidRPr="00000000" w14:paraId="00000009">
      <w:pPr>
        <w:pStyle w:val="Heading1"/>
        <w:pageBreakBefore w:val="0"/>
        <w:pBdr>
          <w:top w:space="0" w:sz="0" w:val="nil"/>
          <w:left w:space="0" w:sz="0" w:val="nil"/>
          <w:bottom w:space="0" w:sz="0" w:val="nil"/>
          <w:right w:space="0" w:sz="0" w:val="nil"/>
          <w:between w:space="0" w:sz="0" w:val="nil"/>
        </w:pBdr>
        <w:shd w:fill="auto" w:val="clear"/>
        <w:rPr>
          <w:color w:val="c27ba0"/>
        </w:rPr>
      </w:pPr>
      <w:bookmarkStart w:colFirst="0" w:colLast="0" w:name="_4lqp25cx7kth" w:id="1"/>
      <w:bookmarkEnd w:id="1"/>
      <w:r w:rsidDel="00000000" w:rsidR="00000000" w:rsidRPr="00000000">
        <w:rPr>
          <w:color w:val="c27ba0"/>
          <w:rtl w:val="0"/>
        </w:rPr>
        <w:t xml:space="preserve">Listening</w:t>
      </w:r>
      <w:r w:rsidDel="00000000" w:rsidR="00000000" w:rsidRPr="00000000">
        <w:rPr>
          <w:color w:val="c27ba0"/>
          <w:rtl w:val="0"/>
        </w:rPr>
        <w:t xml:space="preserve">   (15 mins)</w:t>
      </w:r>
    </w:p>
    <w:p w:rsidR="00000000" w:rsidDel="00000000" w:rsidP="00000000" w:rsidRDefault="00000000" w:rsidRPr="00000000" w14:paraId="0000000A">
      <w:pPr>
        <w:rPr>
          <w:sz w:val="26"/>
          <w:szCs w:val="26"/>
        </w:rPr>
      </w:pPr>
      <w:r w:rsidDel="00000000" w:rsidR="00000000" w:rsidRPr="00000000">
        <w:rPr>
          <w:sz w:val="26"/>
          <w:szCs w:val="26"/>
          <w:rtl w:val="0"/>
        </w:rPr>
        <w:t xml:space="preserve">Listen to the below TED talk. Then answer the multiple questions </w:t>
      </w:r>
    </w:p>
    <w:p w:rsidR="00000000" w:rsidDel="00000000" w:rsidP="00000000" w:rsidRDefault="00000000" w:rsidRPr="00000000" w14:paraId="0000000B">
      <w:pPr>
        <w:spacing w:line="240" w:lineRule="auto"/>
        <w:rPr>
          <w:sz w:val="26"/>
          <w:szCs w:val="26"/>
        </w:rPr>
      </w:pPr>
      <w:r w:rsidDel="00000000" w:rsidR="00000000" w:rsidRPr="00000000">
        <w:rPr>
          <w:rtl w:val="0"/>
        </w:rPr>
      </w:r>
    </w:p>
    <w:p w:rsidR="00000000" w:rsidDel="00000000" w:rsidP="00000000" w:rsidRDefault="00000000" w:rsidRPr="00000000" w14:paraId="0000000C">
      <w:pPr>
        <w:rPr>
          <w:i w:val="1"/>
          <w:sz w:val="26"/>
          <w:szCs w:val="26"/>
        </w:rPr>
      </w:pPr>
      <w:r w:rsidDel="00000000" w:rsidR="00000000" w:rsidRPr="00000000">
        <w:rPr>
          <w:i w:val="1"/>
          <w:sz w:val="26"/>
          <w:szCs w:val="26"/>
          <w:rtl w:val="0"/>
        </w:rPr>
        <w:t xml:space="preserve">Sara Sanford “How to design gender bias out of your workplace”</w:t>
      </w:r>
    </w:p>
    <w:p w:rsidR="00000000" w:rsidDel="00000000" w:rsidP="00000000" w:rsidRDefault="00000000" w:rsidRPr="00000000" w14:paraId="0000000D">
      <w:pPr>
        <w:rPr>
          <w:rFonts w:ascii="Arial" w:cs="Arial" w:eastAsia="Arial" w:hAnsi="Arial"/>
        </w:rPr>
      </w:pPr>
      <w:hyperlink r:id="rId7">
        <w:r w:rsidDel="00000000" w:rsidR="00000000" w:rsidRPr="00000000">
          <w:rPr>
            <w:rFonts w:ascii="Arial" w:cs="Arial" w:eastAsia="Arial" w:hAnsi="Arial"/>
            <w:color w:val="1155cc"/>
            <w:u w:val="single"/>
            <w:rtl w:val="0"/>
          </w:rPr>
          <w:t xml:space="preserve">https</w:t>
        </w:r>
      </w:hyperlink>
      <w:hyperlink r:id="rId8">
        <w:r w:rsidDel="00000000" w:rsidR="00000000" w:rsidRPr="00000000">
          <w:rPr>
            <w:rFonts w:ascii="Arial" w:cs="Arial" w:eastAsia="Arial" w:hAnsi="Arial"/>
            <w:color w:val="1155cc"/>
            <w:u w:val="single"/>
            <w:rtl w:val="0"/>
          </w:rPr>
          <w:t xml:space="preserve">://www.ted.com/talks/sara_sanford_how_to_design_gender_bias_out_of_your_workplace/transcript?language=en</w:t>
        </w:r>
      </w:hyperlink>
      <w:r w:rsidDel="00000000" w:rsidR="00000000" w:rsidRPr="00000000">
        <w:rPr>
          <w:rtl w:val="0"/>
        </w:rPr>
      </w:r>
    </w:p>
    <w:p w:rsidR="00000000" w:rsidDel="00000000" w:rsidP="00000000" w:rsidRDefault="00000000" w:rsidRPr="00000000" w14:paraId="0000000E">
      <w:pPr>
        <w:spacing w:before="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F">
      <w:pPr>
        <w:spacing w:before="0"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5141465" cy="2895277"/>
            <wp:effectExtent b="0" l="0" r="0" t="0"/>
            <wp:docPr id="3" name="image7.jpg"/>
            <a:graphic>
              <a:graphicData uri="http://schemas.openxmlformats.org/drawingml/2006/picture">
                <pic:pic>
                  <pic:nvPicPr>
                    <pic:cNvPr id="0" name="image7.jpg"/>
                    <pic:cNvPicPr preferRelativeResize="0"/>
                  </pic:nvPicPr>
                  <pic:blipFill>
                    <a:blip r:embed="rId9"/>
                    <a:srcRect b="0" l="0" r="0" t="0"/>
                    <a:stretch>
                      <a:fillRect/>
                    </a:stretch>
                  </pic:blipFill>
                  <pic:spPr>
                    <a:xfrm>
                      <a:off x="0" y="0"/>
                      <a:ext cx="5141465" cy="2895277"/>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t xml:space="preserve">Q1.</w:t>
      </w:r>
      <w:r w:rsidDel="00000000" w:rsidR="00000000" w:rsidRPr="00000000">
        <w:rPr>
          <w:sz w:val="24"/>
          <w:szCs w:val="24"/>
          <w:rtl w:val="0"/>
        </w:rPr>
        <w:t xml:space="preserve"> What based on when women are evaluated in year course evaluation?</w:t>
      </w:r>
    </w:p>
    <w:p w:rsidR="00000000" w:rsidDel="00000000" w:rsidP="00000000" w:rsidRDefault="00000000" w:rsidRPr="00000000" w14:paraId="00000011">
      <w:pPr>
        <w:ind w:left="0" w:firstLine="720"/>
        <w:rPr/>
      </w:pPr>
      <w:r w:rsidDel="00000000" w:rsidR="00000000" w:rsidRPr="00000000">
        <w:rPr>
          <w:rtl w:val="0"/>
        </w:rPr>
        <w:t xml:space="preserve">A. Behavior</w:t>
      </w:r>
    </w:p>
    <w:p w:rsidR="00000000" w:rsidDel="00000000" w:rsidP="00000000" w:rsidRDefault="00000000" w:rsidRPr="00000000" w14:paraId="00000012">
      <w:pPr>
        <w:ind w:left="0" w:firstLine="720"/>
        <w:rPr/>
      </w:pPr>
      <w:r w:rsidDel="00000000" w:rsidR="00000000" w:rsidRPr="00000000">
        <w:rPr>
          <w:rtl w:val="0"/>
        </w:rPr>
        <w:t xml:space="preserve">B. Appearance </w:t>
      </w:r>
    </w:p>
    <w:p w:rsidR="00000000" w:rsidDel="00000000" w:rsidP="00000000" w:rsidRDefault="00000000" w:rsidRPr="00000000" w14:paraId="00000013">
      <w:pPr>
        <w:ind w:left="720" w:firstLine="0"/>
        <w:rPr/>
      </w:pPr>
      <w:r w:rsidDel="00000000" w:rsidR="00000000" w:rsidRPr="00000000">
        <w:rPr>
          <w:rtl w:val="0"/>
        </w:rPr>
        <w:t xml:space="preserve">C. Work</w:t>
      </w:r>
    </w:p>
    <w:p w:rsidR="00000000" w:rsidDel="00000000" w:rsidP="00000000" w:rsidRDefault="00000000" w:rsidRPr="00000000" w14:paraId="00000014">
      <w:pPr>
        <w:ind w:left="720" w:firstLine="0"/>
        <w:rPr/>
      </w:pPr>
      <w:r w:rsidDel="00000000" w:rsidR="00000000" w:rsidRPr="00000000">
        <w:rPr>
          <w:rtl w:val="0"/>
        </w:rPr>
        <w:t xml:space="preserve">D. Working hour</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Q2. For how many years extended the assumption that the gender pay gap would be closed?</w:t>
      </w:r>
    </w:p>
    <w:p w:rsidR="00000000" w:rsidDel="00000000" w:rsidP="00000000" w:rsidRDefault="00000000" w:rsidRPr="00000000" w14:paraId="00000016">
      <w:pPr>
        <w:spacing w:line="240" w:lineRule="auto"/>
        <w:ind w:firstLine="720"/>
        <w:rPr/>
      </w:pPr>
      <w:r w:rsidDel="00000000" w:rsidR="00000000" w:rsidRPr="00000000">
        <w:rPr>
          <w:rtl w:val="0"/>
        </w:rPr>
        <w:t xml:space="preserve">A . 25 years</w:t>
      </w:r>
    </w:p>
    <w:p w:rsidR="00000000" w:rsidDel="00000000" w:rsidP="00000000" w:rsidRDefault="00000000" w:rsidRPr="00000000" w14:paraId="00000017">
      <w:pPr>
        <w:spacing w:line="240" w:lineRule="auto"/>
        <w:ind w:firstLine="720"/>
        <w:rPr/>
      </w:pPr>
      <w:r w:rsidDel="00000000" w:rsidR="00000000" w:rsidRPr="00000000">
        <w:rPr>
          <w:rtl w:val="0"/>
        </w:rPr>
        <w:t xml:space="preserve">B. 30 years</w:t>
      </w:r>
    </w:p>
    <w:p w:rsidR="00000000" w:rsidDel="00000000" w:rsidP="00000000" w:rsidRDefault="00000000" w:rsidRPr="00000000" w14:paraId="00000018">
      <w:pPr>
        <w:spacing w:line="240" w:lineRule="auto"/>
        <w:ind w:firstLine="720"/>
        <w:rPr/>
      </w:pPr>
      <w:r w:rsidDel="00000000" w:rsidR="00000000" w:rsidRPr="00000000">
        <w:rPr>
          <w:rtl w:val="0"/>
        </w:rPr>
        <w:t xml:space="preserve">C. 55 years</w:t>
      </w:r>
    </w:p>
    <w:p w:rsidR="00000000" w:rsidDel="00000000" w:rsidP="00000000" w:rsidRDefault="00000000" w:rsidRPr="00000000" w14:paraId="00000019">
      <w:pPr>
        <w:spacing w:line="240" w:lineRule="auto"/>
        <w:ind w:firstLine="720"/>
        <w:rPr/>
      </w:pPr>
      <w:r w:rsidDel="00000000" w:rsidR="00000000" w:rsidRPr="00000000">
        <w:rPr>
          <w:rtl w:val="0"/>
        </w:rPr>
        <w:t xml:space="preserve">D. 60 years</w:t>
      </w:r>
    </w:p>
    <w:p w:rsidR="00000000" w:rsidDel="00000000" w:rsidP="00000000" w:rsidRDefault="00000000" w:rsidRPr="00000000" w14:paraId="0000001A">
      <w:pPr>
        <w:spacing w:line="276" w:lineRule="auto"/>
        <w:ind w:left="0" w:firstLine="0"/>
        <w:rPr>
          <w:sz w:val="24"/>
          <w:szCs w:val="24"/>
        </w:rPr>
      </w:pPr>
      <w:r w:rsidDel="00000000" w:rsidR="00000000" w:rsidRPr="00000000">
        <w:rPr>
          <w:rtl w:val="0"/>
        </w:rPr>
      </w:r>
    </w:p>
    <w:p w:rsidR="00000000" w:rsidDel="00000000" w:rsidP="00000000" w:rsidRDefault="00000000" w:rsidRPr="00000000" w14:paraId="0000001B">
      <w:pPr>
        <w:spacing w:line="276" w:lineRule="auto"/>
        <w:ind w:left="0" w:firstLine="0"/>
        <w:rPr>
          <w:color w:val="c27ba0"/>
          <w:sz w:val="38"/>
          <w:szCs w:val="38"/>
        </w:rPr>
      </w:pPr>
      <w:r w:rsidDel="00000000" w:rsidR="00000000" w:rsidRPr="00000000">
        <w:rPr>
          <w:color w:val="c27ba0"/>
          <w:sz w:val="38"/>
          <w:szCs w:val="38"/>
          <w:rtl w:val="0"/>
        </w:rPr>
        <w:t xml:space="preserve">Writing (20 mins)</w:t>
      </w:r>
    </w:p>
    <w:p w:rsidR="00000000" w:rsidDel="00000000" w:rsidP="00000000" w:rsidRDefault="00000000" w:rsidRPr="00000000" w14:paraId="0000001C">
      <w:pPr>
        <w:spacing w:line="276" w:lineRule="auto"/>
        <w:ind w:left="0" w:firstLine="0"/>
        <w:rPr>
          <w:sz w:val="26"/>
          <w:szCs w:val="26"/>
        </w:rPr>
      </w:pPr>
      <w:r w:rsidDel="00000000" w:rsidR="00000000" w:rsidRPr="00000000">
        <w:rPr>
          <w:color w:val="c27ba0"/>
          <w:sz w:val="26"/>
          <w:szCs w:val="26"/>
          <w:rtl w:val="0"/>
        </w:rPr>
        <w:t xml:space="preserve">Q: </w:t>
      </w:r>
      <w:r w:rsidDel="00000000" w:rsidR="00000000" w:rsidRPr="00000000">
        <w:rPr>
          <w:sz w:val="26"/>
          <w:szCs w:val="26"/>
          <w:rtl w:val="0"/>
        </w:rPr>
        <w:t xml:space="preserve">Have you ever faced discrimination related to gender differences? If you have, describe the situations of that and what you felt by facing the incident.</w:t>
      </w:r>
    </w:p>
    <w:p w:rsidR="00000000" w:rsidDel="00000000" w:rsidP="00000000" w:rsidRDefault="00000000" w:rsidRPr="00000000" w14:paraId="0000001D">
      <w:pPr>
        <w:rPr>
          <w:sz w:val="26"/>
          <w:szCs w:val="26"/>
        </w:rPr>
      </w:pPr>
      <w:r w:rsidDel="00000000" w:rsidR="00000000" w:rsidRPr="00000000">
        <w:rPr>
          <w:color w:val="c27ba0"/>
          <w:sz w:val="26"/>
          <w:szCs w:val="26"/>
          <w:rtl w:val="0"/>
        </w:rPr>
        <w:t xml:space="preserve">Additional work : </w:t>
      </w:r>
      <w:r w:rsidDel="00000000" w:rsidR="00000000" w:rsidRPr="00000000">
        <w:rPr>
          <w:sz w:val="26"/>
          <w:szCs w:val="26"/>
          <w:rtl w:val="0"/>
        </w:rPr>
        <w:t xml:space="preserve">How can organizations effectively implement the principles discussed in Sara’s TED talk to create a more inclusive and gender bias-free workplace?</w:t>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color w:val="cc0000"/>
          <w:sz w:val="26"/>
          <w:szCs w:val="26"/>
        </w:rPr>
      </w:pPr>
      <w:r w:rsidDel="00000000" w:rsidR="00000000" w:rsidRPr="00000000">
        <w:rPr>
          <w:color w:val="cc0000"/>
          <w:sz w:val="26"/>
          <w:szCs w:val="26"/>
          <w:rtl w:val="0"/>
        </w:rPr>
        <w:t xml:space="preserve">Write your idea in around 200 words</w:t>
      </w:r>
    </w:p>
    <w:p w:rsidR="00000000" w:rsidDel="00000000" w:rsidP="00000000" w:rsidRDefault="00000000" w:rsidRPr="00000000" w14:paraId="00000020">
      <w:pPr>
        <w:rPr>
          <w:color w:val="cc0000"/>
          <w:sz w:val="26"/>
          <w:szCs w:val="26"/>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r>
        <w:trPr>
          <w:cantSplit w:val="0"/>
          <w:tblHeader w:val="0"/>
        </w:trPr>
        <w:tc>
          <w:tcPr>
            <w:tcBorders>
              <w:top w:color="000000" w:space="0" w:sz="4" w:val="dashed"/>
              <w:left w:color="000000" w:space="0" w:sz="4" w:val="dashed"/>
              <w:bottom w:color="000000" w:space="0" w:sz="4" w:val="dashed"/>
              <w:right w:color="000000" w:space="0" w:sz="4" w:val="dashed"/>
            </w:tcBorders>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c27ba0"/>
                <w:sz w:val="38"/>
                <w:szCs w:val="38"/>
              </w:rPr>
            </w:pPr>
            <w:r w:rsidDel="00000000" w:rsidR="00000000" w:rsidRPr="00000000">
              <w:rPr>
                <w:rtl w:val="0"/>
              </w:rPr>
            </w:r>
          </w:p>
        </w:tc>
      </w:tr>
    </w:tbl>
    <w:p w:rsidR="00000000" w:rsidDel="00000000" w:rsidP="00000000" w:rsidRDefault="00000000" w:rsidRPr="00000000" w14:paraId="00000036">
      <w:pPr>
        <w:pStyle w:val="Heading1"/>
        <w:pageBreakBefore w:val="0"/>
        <w:pBdr>
          <w:top w:space="0" w:sz="0" w:val="nil"/>
          <w:left w:space="0" w:sz="0" w:val="nil"/>
          <w:bottom w:space="0" w:sz="0" w:val="nil"/>
          <w:right w:space="0" w:sz="0" w:val="nil"/>
          <w:between w:space="0" w:sz="0" w:val="nil"/>
        </w:pBdr>
        <w:shd w:fill="auto" w:val="clear"/>
        <w:rPr>
          <w:color w:val="c27ba0"/>
          <w:sz w:val="40"/>
          <w:szCs w:val="40"/>
        </w:rPr>
      </w:pPr>
      <w:bookmarkStart w:colFirst="0" w:colLast="0" w:name="_q4bwodfogbhv" w:id="2"/>
      <w:bookmarkEnd w:id="2"/>
      <w:r w:rsidDel="00000000" w:rsidR="00000000" w:rsidRPr="00000000">
        <w:rPr>
          <w:rtl w:val="0"/>
        </w:rPr>
      </w:r>
    </w:p>
    <w:p w:rsidR="00000000" w:rsidDel="00000000" w:rsidP="00000000" w:rsidRDefault="00000000" w:rsidRPr="00000000" w14:paraId="00000037">
      <w:pPr>
        <w:pStyle w:val="Heading1"/>
        <w:pageBreakBefore w:val="0"/>
        <w:pBdr>
          <w:top w:space="0" w:sz="0" w:val="nil"/>
          <w:left w:space="0" w:sz="0" w:val="nil"/>
          <w:bottom w:space="0" w:sz="0" w:val="nil"/>
          <w:right w:space="0" w:sz="0" w:val="nil"/>
          <w:between w:space="0" w:sz="0" w:val="nil"/>
        </w:pBdr>
        <w:shd w:fill="auto" w:val="clear"/>
        <w:rPr>
          <w:color w:val="c27ba0"/>
          <w:sz w:val="40"/>
          <w:szCs w:val="40"/>
        </w:rPr>
      </w:pPr>
      <w:bookmarkStart w:colFirst="0" w:colLast="0" w:name="_q6xspc3c5exk" w:id="3"/>
      <w:bookmarkEnd w:id="3"/>
      <w:r w:rsidDel="00000000" w:rsidR="00000000" w:rsidRPr="00000000">
        <w:rPr>
          <w:rtl w:val="0"/>
        </w:rPr>
      </w:r>
    </w:p>
    <w:p w:rsidR="00000000" w:rsidDel="00000000" w:rsidP="00000000" w:rsidRDefault="00000000" w:rsidRPr="00000000" w14:paraId="00000038">
      <w:pPr>
        <w:pStyle w:val="Heading1"/>
        <w:pageBreakBefore w:val="0"/>
        <w:pBdr>
          <w:top w:space="0" w:sz="0" w:val="nil"/>
          <w:left w:space="0" w:sz="0" w:val="nil"/>
          <w:bottom w:space="0" w:sz="0" w:val="nil"/>
          <w:right w:space="0" w:sz="0" w:val="nil"/>
          <w:between w:space="0" w:sz="0" w:val="nil"/>
        </w:pBdr>
        <w:shd w:fill="auto" w:val="clear"/>
        <w:rPr>
          <w:color w:val="c27ba0"/>
          <w:sz w:val="40"/>
          <w:szCs w:val="40"/>
        </w:rPr>
      </w:pPr>
      <w:bookmarkStart w:colFirst="0" w:colLast="0" w:name="_2xv9e8q29wjk" w:id="4"/>
      <w:bookmarkEnd w:id="4"/>
      <w:r w:rsidDel="00000000" w:rsidR="00000000" w:rsidRPr="00000000">
        <w:rPr>
          <w:rtl w:val="0"/>
        </w:rPr>
      </w:r>
    </w:p>
    <w:p w:rsidR="00000000" w:rsidDel="00000000" w:rsidP="00000000" w:rsidRDefault="00000000" w:rsidRPr="00000000" w14:paraId="00000039">
      <w:pPr>
        <w:pStyle w:val="Heading1"/>
        <w:pageBreakBefore w:val="0"/>
        <w:pBdr>
          <w:top w:space="0" w:sz="0" w:val="nil"/>
          <w:left w:space="0" w:sz="0" w:val="nil"/>
          <w:bottom w:space="0" w:sz="0" w:val="nil"/>
          <w:right w:space="0" w:sz="0" w:val="nil"/>
          <w:between w:space="0" w:sz="0" w:val="nil"/>
        </w:pBdr>
        <w:shd w:fill="auto" w:val="clear"/>
        <w:rPr>
          <w:color w:val="c27ba0"/>
          <w:sz w:val="40"/>
          <w:szCs w:val="40"/>
        </w:rPr>
      </w:pPr>
      <w:bookmarkStart w:colFirst="0" w:colLast="0" w:name="_d11ffml1lfj9" w:id="5"/>
      <w:bookmarkEnd w:id="5"/>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pageBreakBefore w:val="0"/>
        <w:pBdr>
          <w:top w:space="0" w:sz="0" w:val="nil"/>
          <w:left w:space="0" w:sz="0" w:val="nil"/>
          <w:bottom w:space="0" w:sz="0" w:val="nil"/>
          <w:right w:space="0" w:sz="0" w:val="nil"/>
          <w:between w:space="0" w:sz="0" w:val="nil"/>
        </w:pBdr>
        <w:shd w:fill="auto" w:val="clear"/>
        <w:rPr>
          <w:color w:val="c27ba0"/>
          <w:sz w:val="40"/>
          <w:szCs w:val="40"/>
        </w:rPr>
      </w:pPr>
      <w:bookmarkStart w:colFirst="0" w:colLast="0" w:name="_4tzdkric1vin" w:id="6"/>
      <w:bookmarkEnd w:id="6"/>
      <w:r w:rsidDel="00000000" w:rsidR="00000000" w:rsidRPr="00000000">
        <w:rPr>
          <w:rtl w:val="0"/>
        </w:rPr>
      </w:r>
    </w:p>
    <w:p w:rsidR="00000000" w:rsidDel="00000000" w:rsidP="00000000" w:rsidRDefault="00000000" w:rsidRPr="00000000" w14:paraId="0000003C">
      <w:pPr>
        <w:pStyle w:val="Heading1"/>
        <w:pageBreakBefore w:val="0"/>
        <w:pBdr>
          <w:top w:space="0" w:sz="0" w:val="nil"/>
          <w:left w:space="0" w:sz="0" w:val="nil"/>
          <w:bottom w:space="0" w:sz="0" w:val="nil"/>
          <w:right w:space="0" w:sz="0" w:val="nil"/>
          <w:between w:space="0" w:sz="0" w:val="nil"/>
        </w:pBdr>
        <w:shd w:fill="auto" w:val="clear"/>
        <w:rPr>
          <w:color w:val="000000"/>
          <w:sz w:val="40"/>
          <w:szCs w:val="40"/>
        </w:rPr>
      </w:pPr>
      <w:bookmarkStart w:colFirst="0" w:colLast="0" w:name="_lzr2si3oshbv" w:id="7"/>
      <w:bookmarkEnd w:id="7"/>
      <w:r w:rsidDel="00000000" w:rsidR="00000000" w:rsidRPr="00000000">
        <w:rPr>
          <w:color w:val="c27ba0"/>
          <w:sz w:val="40"/>
          <w:szCs w:val="40"/>
          <w:rtl w:val="0"/>
        </w:rPr>
        <w:t xml:space="preserve">Reading (15 mins)</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before="200" w:line="300" w:lineRule="auto"/>
        <w:rPr>
          <w:b w:val="1"/>
          <w:i w:val="1"/>
          <w:sz w:val="26"/>
          <w:szCs w:val="26"/>
        </w:rPr>
      </w:pPr>
      <w:r w:rsidDel="00000000" w:rsidR="00000000" w:rsidRPr="00000000">
        <w:rPr>
          <w:sz w:val="26"/>
          <w:szCs w:val="26"/>
          <w:rtl w:val="0"/>
        </w:rPr>
        <w:t xml:space="preserve">Read below article:</w:t>
      </w:r>
      <w:r w:rsidDel="00000000" w:rsidR="00000000" w:rsidRPr="00000000">
        <w:rPr>
          <w:color w:val="ed0800"/>
          <w:sz w:val="26"/>
          <w:szCs w:val="26"/>
          <w:rtl w:val="0"/>
        </w:rPr>
        <w:t xml:space="preserve"> </w:t>
      </w:r>
      <w:r w:rsidDel="00000000" w:rsidR="00000000" w:rsidRPr="00000000">
        <w:rPr>
          <w:sz w:val="26"/>
          <w:szCs w:val="26"/>
          <w:rtl w:val="0"/>
        </w:rPr>
        <w:t xml:space="preserve">Make a pair. Read the different articles with your partner.</w:t>
      </w: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before="200" w:line="300" w:lineRule="auto"/>
        <w:rPr>
          <w:sz w:val="24"/>
          <w:szCs w:val="24"/>
          <w:highlight w:val="white"/>
        </w:rPr>
      </w:pPr>
      <w:r w:rsidDel="00000000" w:rsidR="00000000" w:rsidRPr="00000000">
        <w:rPr>
          <w:b w:val="1"/>
          <w:i w:val="1"/>
          <w:sz w:val="26"/>
          <w:szCs w:val="26"/>
          <w:rtl w:val="0"/>
        </w:rPr>
        <w:t xml:space="preserve">Wage and working hours</w:t>
      </w:r>
      <w:r w:rsidDel="00000000" w:rsidR="00000000" w:rsidRPr="00000000">
        <w:rPr>
          <w:rtl w:val="0"/>
        </w:rPr>
      </w:r>
    </w:p>
    <w:p w:rsidR="00000000" w:rsidDel="00000000" w:rsidP="00000000" w:rsidRDefault="00000000" w:rsidRPr="00000000" w14:paraId="0000003F">
      <w:pPr>
        <w:widowControl w:val="0"/>
        <w:spacing w:before="0" w:line="240" w:lineRule="auto"/>
        <w:rPr>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widowControl w:val="0"/>
        <w:spacing w:before="0" w:line="276" w:lineRule="auto"/>
        <w:rPr>
          <w:sz w:val="24"/>
          <w:szCs w:val="24"/>
          <w:highlight w:val="white"/>
        </w:rPr>
      </w:pPr>
      <w:r w:rsidDel="00000000" w:rsidR="00000000" w:rsidRPr="00000000">
        <w:rPr>
          <w:sz w:val="24"/>
          <w:szCs w:val="24"/>
          <w:highlight w:val="white"/>
          <w:rtl w:val="0"/>
        </w:rPr>
        <w:t xml:space="preserve">A major cause of gender wage disparity among regular employees in Japan is the dearth of female managers. According to the </w:t>
      </w:r>
      <w:r w:rsidDel="00000000" w:rsidR="00000000" w:rsidRPr="00000000">
        <w:rPr>
          <w:i w:val="1"/>
          <w:sz w:val="24"/>
          <w:szCs w:val="24"/>
          <w:highlight w:val="white"/>
          <w:rtl w:val="0"/>
        </w:rPr>
        <w:t xml:space="preserve">2016 Basic Survey on Equality of Employment Opportunity</w:t>
      </w:r>
      <w:r w:rsidDel="00000000" w:rsidR="00000000" w:rsidRPr="00000000">
        <w:rPr>
          <w:sz w:val="24"/>
          <w:szCs w:val="24"/>
          <w:highlight w:val="white"/>
          <w:rtl w:val="0"/>
        </w:rPr>
        <w:t xml:space="preserve"> by the Ministry of Health, Labour, and Welfare, women hold 6.4 percent of the positions of department director or equivalent; 8.9 percent of section head or equivalent; and 14.7 percent of task-unit supervisor or equivalent.</w:t>
      </w:r>
    </w:p>
    <w:p w:rsidR="00000000" w:rsidDel="00000000" w:rsidP="00000000" w:rsidRDefault="00000000" w:rsidRPr="00000000" w14:paraId="00000041">
      <w:pPr>
        <w:widowControl w:val="0"/>
        <w:spacing w:before="0" w:line="276" w:lineRule="auto"/>
        <w:rPr>
          <w:sz w:val="24"/>
          <w:szCs w:val="24"/>
          <w:highlight w:val="white"/>
        </w:rPr>
      </w:pPr>
      <w:r w:rsidDel="00000000" w:rsidR="00000000" w:rsidRPr="00000000">
        <w:rPr>
          <w:sz w:val="24"/>
          <w:szCs w:val="24"/>
          <w:highlight w:val="white"/>
          <w:rtl w:val="0"/>
        </w:rPr>
        <w:t xml:space="preserve">As is true elsewhere, Japan’s non-regular employees have nearly uniformly low wages, irrespective of age and gender. For regular employees, on the other hand, wages increase with age until the employee reaches approximately 50 years old. This is because in a large majority of Japanese firms, regular employees receive wage premiums based on years of service. The gender disparity in the proportion of non-regular employees is perpetuated by the employers’ perception that new graduates are more desirable candidates for regular employment. Because employers tend to prioritize the hiring of these younger job seekers for regular employment, women who leave their jobs for childrearing and attempt to re-enter the job market at a later date have very limited opportunities for regular employment.</w:t>
      </w:r>
    </w:p>
    <w:p w:rsidR="00000000" w:rsidDel="00000000" w:rsidP="00000000" w:rsidRDefault="00000000" w:rsidRPr="00000000" w14:paraId="00000042">
      <w:pPr>
        <w:widowControl w:val="0"/>
        <w:spacing w:before="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43">
      <w:pPr>
        <w:widowControl w:val="0"/>
        <w:spacing w:before="0" w:line="240" w:lineRule="auto"/>
        <w:rPr>
          <w:b w:val="1"/>
          <w:i w:val="1"/>
          <w:sz w:val="24"/>
          <w:szCs w:val="24"/>
          <w:highlight w:val="white"/>
        </w:rPr>
      </w:pPr>
      <w:r w:rsidDel="00000000" w:rsidR="00000000" w:rsidRPr="00000000">
        <w:rPr>
          <w:b w:val="1"/>
          <w:i w:val="1"/>
          <w:sz w:val="28"/>
          <w:szCs w:val="28"/>
          <w:highlight w:val="white"/>
          <w:rtl w:val="0"/>
        </w:rPr>
        <w:t xml:space="preserve">Women population in leader position</w:t>
      </w:r>
      <w:r w:rsidDel="00000000" w:rsidR="00000000" w:rsidRPr="00000000">
        <w:rPr>
          <w:rtl w:val="0"/>
        </w:rPr>
      </w:r>
    </w:p>
    <w:p w:rsidR="00000000" w:rsidDel="00000000" w:rsidP="00000000" w:rsidRDefault="00000000" w:rsidRPr="00000000" w14:paraId="00000044">
      <w:pPr>
        <w:widowControl w:val="0"/>
        <w:spacing w:after="220" w:before="220" w:line="276" w:lineRule="auto"/>
        <w:rPr>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widowControl w:val="0"/>
        <w:spacing w:after="220" w:before="220" w:line="276" w:lineRule="auto"/>
        <w:rPr>
          <w:sz w:val="24"/>
          <w:szCs w:val="24"/>
          <w:highlight w:val="white"/>
        </w:rPr>
      </w:pPr>
      <w:r w:rsidDel="00000000" w:rsidR="00000000" w:rsidRPr="00000000">
        <w:rPr>
          <w:sz w:val="24"/>
          <w:szCs w:val="24"/>
          <w:highlight w:val="white"/>
          <w:rtl w:val="0"/>
        </w:rPr>
        <w:t xml:space="preserve">A survey on the promotion of women in companies, conducted by Teikoku Databank in July 2021 and targeting 24,285 companies across Japan, revealed that the ratio of female managers overall had increased by 1.1 points from the previous year to 8.9%. This was the highest ratio since this survey began in 2013. However, the government had set a goal of having at least 30% of women in leadership positions in political, economic, and similar fields by 2020 and this has not yet been achieved. Their aim has now been revised to “achieving around 30% as soon as possible in the 2020s.” In the survey this time, only 8.6% of companies had more than 30% women in managerial positions, while 45.2% had no female managers at all. This shows the gulf between the government goal and Japanese society today.</w:t>
      </w:r>
      <w:r w:rsidDel="00000000" w:rsidR="00000000" w:rsidRPr="00000000">
        <w:rPr>
          <w:rtl w:val="0"/>
        </w:rPr>
      </w:r>
    </w:p>
    <w:p w:rsidR="00000000" w:rsidDel="00000000" w:rsidP="00000000" w:rsidRDefault="00000000" w:rsidRPr="00000000" w14:paraId="00000046">
      <w:pPr>
        <w:widowControl w:val="0"/>
        <w:spacing w:after="220" w:before="220" w:line="276" w:lineRule="auto"/>
        <w:rPr>
          <w:sz w:val="24"/>
          <w:szCs w:val="24"/>
          <w:highlight w:val="white"/>
        </w:rPr>
      </w:pPr>
      <w:r w:rsidDel="00000000" w:rsidR="00000000" w:rsidRPr="00000000">
        <w:rPr>
          <w:rtl w:val="0"/>
        </w:rPr>
      </w:r>
    </w:p>
    <w:p w:rsidR="00000000" w:rsidDel="00000000" w:rsidP="00000000" w:rsidRDefault="00000000" w:rsidRPr="00000000" w14:paraId="00000047">
      <w:pPr>
        <w:pStyle w:val="Heading1"/>
        <w:pageBreakBefore w:val="0"/>
        <w:pBdr>
          <w:top w:space="0" w:sz="0" w:val="nil"/>
          <w:left w:space="0" w:sz="0" w:val="nil"/>
          <w:bottom w:space="0" w:sz="0" w:val="nil"/>
          <w:right w:space="0" w:sz="0" w:val="nil"/>
          <w:between w:space="0" w:sz="0" w:val="nil"/>
        </w:pBdr>
        <w:shd w:fill="auto" w:val="clear"/>
        <w:rPr>
          <w:color w:val="c27ba0"/>
        </w:rPr>
      </w:pPr>
      <w:bookmarkStart w:colFirst="0" w:colLast="0" w:name="_io6g465q5txg" w:id="8"/>
      <w:bookmarkEnd w:id="8"/>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565313</wp:posOffset>
            </wp:positionH>
            <wp:positionV relativeFrom="paragraph">
              <wp:posOffset>200025</wp:posOffset>
            </wp:positionV>
            <wp:extent cx="4604707" cy="3738563"/>
            <wp:effectExtent b="0" l="0" r="0" t="0"/>
            <wp:wrapNone/>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604707" cy="3738563"/>
                    </a:xfrm>
                    <a:prstGeom prst="rect"/>
                    <a:ln/>
                  </pic:spPr>
                </pic:pic>
              </a:graphicData>
            </a:graphic>
          </wp:anchor>
        </w:drawing>
      </w:r>
    </w:p>
    <w:p w:rsidR="00000000" w:rsidDel="00000000" w:rsidP="00000000" w:rsidRDefault="00000000" w:rsidRPr="00000000" w14:paraId="00000048">
      <w:pPr>
        <w:pStyle w:val="Heading1"/>
        <w:pageBreakBefore w:val="0"/>
        <w:pBdr>
          <w:top w:space="0" w:sz="0" w:val="nil"/>
          <w:left w:space="0" w:sz="0" w:val="nil"/>
          <w:bottom w:space="0" w:sz="0" w:val="nil"/>
          <w:right w:space="0" w:sz="0" w:val="nil"/>
          <w:between w:space="0" w:sz="0" w:val="nil"/>
        </w:pBdr>
        <w:shd w:fill="auto" w:val="clear"/>
        <w:rPr>
          <w:color w:val="c27ba0"/>
        </w:rPr>
      </w:pPr>
      <w:bookmarkStart w:colFirst="0" w:colLast="0" w:name="_gma91y5hns9i" w:id="9"/>
      <w:bookmarkEnd w:id="9"/>
      <w:r w:rsidDel="00000000" w:rsidR="00000000" w:rsidRPr="00000000">
        <w:rPr>
          <w:rtl w:val="0"/>
        </w:rPr>
      </w:r>
    </w:p>
    <w:p w:rsidR="00000000" w:rsidDel="00000000" w:rsidP="00000000" w:rsidRDefault="00000000" w:rsidRPr="00000000" w14:paraId="00000049">
      <w:pPr>
        <w:pStyle w:val="Heading1"/>
        <w:pageBreakBefore w:val="0"/>
        <w:pBdr>
          <w:top w:space="0" w:sz="0" w:val="nil"/>
          <w:left w:space="0" w:sz="0" w:val="nil"/>
          <w:bottom w:space="0" w:sz="0" w:val="nil"/>
          <w:right w:space="0" w:sz="0" w:val="nil"/>
          <w:between w:space="0" w:sz="0" w:val="nil"/>
        </w:pBdr>
        <w:shd w:fill="auto" w:val="clear"/>
        <w:rPr>
          <w:color w:val="c27ba0"/>
        </w:rPr>
      </w:pPr>
      <w:bookmarkStart w:colFirst="0" w:colLast="0" w:name="_abglv62xhje3" w:id="10"/>
      <w:bookmarkEnd w:id="10"/>
      <w:r w:rsidDel="00000000" w:rsidR="00000000" w:rsidRPr="00000000">
        <w:rPr>
          <w:rtl w:val="0"/>
        </w:rPr>
      </w:r>
    </w:p>
    <w:p w:rsidR="00000000" w:rsidDel="00000000" w:rsidP="00000000" w:rsidRDefault="00000000" w:rsidRPr="00000000" w14:paraId="0000004A">
      <w:pPr>
        <w:pStyle w:val="Heading1"/>
        <w:pageBreakBefore w:val="0"/>
        <w:pBdr>
          <w:top w:space="0" w:sz="0" w:val="nil"/>
          <w:left w:space="0" w:sz="0" w:val="nil"/>
          <w:bottom w:space="0" w:sz="0" w:val="nil"/>
          <w:right w:space="0" w:sz="0" w:val="nil"/>
          <w:between w:space="0" w:sz="0" w:val="nil"/>
        </w:pBdr>
        <w:shd w:fill="auto" w:val="clear"/>
        <w:rPr>
          <w:color w:val="c27ba0"/>
        </w:rPr>
      </w:pPr>
      <w:bookmarkStart w:colFirst="0" w:colLast="0" w:name="_370erq37qloz" w:id="11"/>
      <w:bookmarkEnd w:id="11"/>
      <w:r w:rsidDel="00000000" w:rsidR="00000000" w:rsidRPr="00000000">
        <w:rPr>
          <w:rtl w:val="0"/>
        </w:rPr>
      </w:r>
    </w:p>
    <w:p w:rsidR="00000000" w:rsidDel="00000000" w:rsidP="00000000" w:rsidRDefault="00000000" w:rsidRPr="00000000" w14:paraId="0000004B">
      <w:pPr>
        <w:pStyle w:val="Heading1"/>
        <w:pageBreakBefore w:val="0"/>
        <w:pBdr>
          <w:top w:space="0" w:sz="0" w:val="nil"/>
          <w:left w:space="0" w:sz="0" w:val="nil"/>
          <w:bottom w:space="0" w:sz="0" w:val="nil"/>
          <w:right w:space="0" w:sz="0" w:val="nil"/>
          <w:between w:space="0" w:sz="0" w:val="nil"/>
        </w:pBdr>
        <w:shd w:fill="auto" w:val="clear"/>
        <w:rPr>
          <w:color w:val="c27ba0"/>
        </w:rPr>
      </w:pPr>
      <w:bookmarkStart w:colFirst="0" w:colLast="0" w:name="_sqksox2tov0d" w:id="12"/>
      <w:bookmarkEnd w:id="12"/>
      <w:r w:rsidDel="00000000" w:rsidR="00000000" w:rsidRPr="00000000">
        <w:rPr>
          <w:rtl w:val="0"/>
        </w:rPr>
      </w:r>
    </w:p>
    <w:p w:rsidR="00000000" w:rsidDel="00000000" w:rsidP="00000000" w:rsidRDefault="00000000" w:rsidRPr="00000000" w14:paraId="0000004C">
      <w:pPr>
        <w:pStyle w:val="Heading1"/>
        <w:pageBreakBefore w:val="0"/>
        <w:pBdr>
          <w:top w:space="0" w:sz="0" w:val="nil"/>
          <w:left w:space="0" w:sz="0" w:val="nil"/>
          <w:bottom w:space="0" w:sz="0" w:val="nil"/>
          <w:right w:space="0" w:sz="0" w:val="nil"/>
          <w:between w:space="0" w:sz="0" w:val="nil"/>
        </w:pBdr>
        <w:shd w:fill="auto" w:val="clear"/>
        <w:rPr>
          <w:color w:val="c27ba0"/>
        </w:rPr>
      </w:pPr>
      <w:bookmarkStart w:colFirst="0" w:colLast="0" w:name="_9gozkh8eaibm" w:id="13"/>
      <w:bookmarkEnd w:id="13"/>
      <w:r w:rsidDel="00000000" w:rsidR="00000000" w:rsidRPr="00000000">
        <w:rPr>
          <w:rtl w:val="0"/>
        </w:rPr>
      </w:r>
    </w:p>
    <w:p w:rsidR="00000000" w:rsidDel="00000000" w:rsidP="00000000" w:rsidRDefault="00000000" w:rsidRPr="00000000" w14:paraId="0000004D">
      <w:pPr>
        <w:pStyle w:val="Heading1"/>
        <w:pageBreakBefore w:val="0"/>
        <w:pBdr>
          <w:top w:space="0" w:sz="0" w:val="nil"/>
          <w:left w:space="0" w:sz="0" w:val="nil"/>
          <w:bottom w:space="0" w:sz="0" w:val="nil"/>
          <w:right w:space="0" w:sz="0" w:val="nil"/>
          <w:between w:space="0" w:sz="0" w:val="nil"/>
        </w:pBdr>
        <w:shd w:fill="auto" w:val="clear"/>
        <w:rPr>
          <w:color w:val="c27ba0"/>
        </w:rPr>
      </w:pPr>
      <w:bookmarkStart w:colFirst="0" w:colLast="0" w:name="_3yfxfo1g3lm4" w:id="14"/>
      <w:bookmarkEnd w:id="14"/>
      <w:r w:rsidDel="00000000" w:rsidR="00000000" w:rsidRPr="00000000">
        <w:rPr>
          <w:rtl w:val="0"/>
        </w:rPr>
      </w:r>
    </w:p>
    <w:p w:rsidR="00000000" w:rsidDel="00000000" w:rsidP="00000000" w:rsidRDefault="00000000" w:rsidRPr="00000000" w14:paraId="0000004E">
      <w:pPr>
        <w:pStyle w:val="Heading1"/>
        <w:pageBreakBefore w:val="0"/>
        <w:pBdr>
          <w:top w:space="0" w:sz="0" w:val="nil"/>
          <w:left w:space="0" w:sz="0" w:val="nil"/>
          <w:bottom w:space="0" w:sz="0" w:val="nil"/>
          <w:right w:space="0" w:sz="0" w:val="nil"/>
          <w:between w:space="0" w:sz="0" w:val="nil"/>
        </w:pBdr>
        <w:shd w:fill="auto" w:val="clear"/>
        <w:rPr>
          <w:color w:val="c27ba0"/>
        </w:rPr>
      </w:pPr>
      <w:bookmarkStart w:colFirst="0" w:colLast="0" w:name="_tvquuf8hh7tc" w:id="15"/>
      <w:bookmarkEnd w:id="15"/>
      <w:r w:rsidDel="00000000" w:rsidR="00000000" w:rsidRPr="00000000">
        <w:rPr>
          <w:color w:val="c27ba0"/>
          <w:rtl w:val="0"/>
        </w:rPr>
        <w:t xml:space="preserve">Speaking (10 mins)</w:t>
      </w:r>
      <w:r w:rsidDel="00000000" w:rsidR="00000000" w:rsidRPr="00000000">
        <w:rPr>
          <w:rtl w:val="0"/>
        </w:rPr>
      </w:r>
    </w:p>
    <w:p w:rsidR="00000000" w:rsidDel="00000000" w:rsidP="00000000" w:rsidRDefault="00000000" w:rsidRPr="00000000" w14:paraId="0000004F">
      <w:pPr>
        <w:pStyle w:val="Heading1"/>
        <w:pageBreakBefore w:val="0"/>
        <w:pBdr>
          <w:top w:space="0" w:sz="0" w:val="nil"/>
          <w:left w:space="0" w:sz="0" w:val="nil"/>
          <w:bottom w:space="0" w:sz="0" w:val="nil"/>
          <w:right w:space="0" w:sz="0" w:val="nil"/>
          <w:between w:space="0" w:sz="0" w:val="nil"/>
        </w:pBdr>
        <w:shd w:fill="auto" w:val="clear"/>
        <w:spacing w:before="480" w:line="300" w:lineRule="auto"/>
        <w:rPr/>
      </w:pPr>
      <w:bookmarkStart w:colFirst="0" w:colLast="0" w:name="_ijbx9ztbzl2d" w:id="16"/>
      <w:bookmarkEnd w:id="16"/>
      <w:r w:rsidDel="00000000" w:rsidR="00000000" w:rsidRPr="00000000">
        <w:rPr>
          <w:rtl w:val="0"/>
        </w:rPr>
        <w:t xml:space="preserve">Discuss what you read and your opinions from reading </w:t>
      </w:r>
    </w:p>
    <w:p w:rsidR="00000000" w:rsidDel="00000000" w:rsidP="00000000" w:rsidRDefault="00000000" w:rsidRPr="00000000" w14:paraId="00000050">
      <w:pPr>
        <w:rPr>
          <w:sz w:val="28"/>
          <w:szCs w:val="28"/>
        </w:rPr>
      </w:pPr>
      <w:r w:rsidDel="00000000" w:rsidR="00000000" w:rsidRPr="00000000">
        <w:rPr>
          <w:sz w:val="28"/>
          <w:szCs w:val="28"/>
          <w:rtl w:val="0"/>
        </w:rPr>
        <w:t xml:space="preserve">The article that you are reading is different from the article that your partner is reading.</w:t>
      </w:r>
      <w:r w:rsidDel="00000000" w:rsidR="00000000" w:rsidRPr="00000000">
        <w:rPr>
          <w:sz w:val="28"/>
          <w:szCs w:val="28"/>
          <w:rtl w:val="0"/>
        </w:rPr>
        <w:t xml:space="preserve"> </w:t>
      </w:r>
      <w:r w:rsidDel="00000000" w:rsidR="00000000" w:rsidRPr="00000000">
        <w:rPr>
          <w:sz w:val="28"/>
          <w:szCs w:val="28"/>
          <w:rtl w:val="0"/>
        </w:rPr>
        <w:t xml:space="preserve">Let’s share what you’ve read with your partner and your ideas about articles that you read!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color w:val="e9c4cb"/>
          <w:sz w:val="34"/>
          <w:szCs w:val="34"/>
        </w:rPr>
      </w:pPr>
      <w:r w:rsidDel="00000000" w:rsidR="00000000" w:rsidRPr="00000000">
        <w:rPr>
          <w:color w:val="e9c4cb"/>
          <w:sz w:val="34"/>
          <w:szCs w:val="34"/>
          <w:rtl w:val="0"/>
        </w:rPr>
        <w:t xml:space="preserve">Listening part answer</w:t>
      </w:r>
    </w:p>
    <w:p w:rsidR="00000000" w:rsidDel="00000000" w:rsidP="00000000" w:rsidRDefault="00000000" w:rsidRPr="00000000" w14:paraId="00000059">
      <w:pPr>
        <w:rPr>
          <w:b w:val="1"/>
          <w:sz w:val="34"/>
          <w:szCs w:val="34"/>
        </w:rPr>
      </w:pPr>
      <w:r w:rsidDel="00000000" w:rsidR="00000000" w:rsidRPr="00000000">
        <w:rPr>
          <w:rtl w:val="0"/>
        </w:rPr>
      </w:r>
    </w:p>
    <w:p w:rsidR="00000000" w:rsidDel="00000000" w:rsidP="00000000" w:rsidRDefault="00000000" w:rsidRPr="00000000" w14:paraId="0000005A">
      <w:pPr>
        <w:rPr>
          <w:sz w:val="28"/>
          <w:szCs w:val="28"/>
        </w:rPr>
      </w:pPr>
      <w:r w:rsidDel="00000000" w:rsidR="00000000" w:rsidRPr="00000000">
        <w:rPr>
          <w:sz w:val="28"/>
          <w:szCs w:val="28"/>
          <w:rtl w:val="0"/>
        </w:rPr>
        <w:t xml:space="preserve">Q1, A</w:t>
      </w:r>
    </w:p>
    <w:p w:rsidR="00000000" w:rsidDel="00000000" w:rsidP="00000000" w:rsidRDefault="00000000" w:rsidRPr="00000000" w14:paraId="0000005B">
      <w:pPr>
        <w:rPr>
          <w:sz w:val="28"/>
          <w:szCs w:val="28"/>
        </w:rPr>
      </w:pPr>
      <w:r w:rsidDel="00000000" w:rsidR="00000000" w:rsidRPr="00000000">
        <w:rPr>
          <w:sz w:val="28"/>
          <w:szCs w:val="28"/>
          <w:rtl w:val="0"/>
        </w:rPr>
        <w:t xml:space="preserve">Q2, D</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1"/>
        <w:jc w:val="center"/>
        <w:rPr>
          <w:b w:val="1"/>
          <w:color w:val="d5a6bd"/>
          <w:sz w:val="58"/>
          <w:szCs w:val="58"/>
        </w:rPr>
      </w:pPr>
      <w:bookmarkStart w:colFirst="0" w:colLast="0" w:name="_pzjc0oqqwzes" w:id="17"/>
      <w:bookmarkEnd w:id="17"/>
      <w:r w:rsidDel="00000000" w:rsidR="00000000" w:rsidRPr="00000000">
        <w:rPr>
          <w:b w:val="1"/>
          <w:color w:val="d5a6bd"/>
          <w:sz w:val="58"/>
          <w:szCs w:val="58"/>
          <w:rtl w:val="0"/>
        </w:rPr>
        <w:t xml:space="preserve">References</w:t>
      </w:r>
    </w:p>
    <w:p w:rsidR="00000000" w:rsidDel="00000000" w:rsidP="00000000" w:rsidRDefault="00000000" w:rsidRPr="00000000" w14:paraId="00000060">
      <w:pPr>
        <w:rPr>
          <w:b w:val="1"/>
          <w:sz w:val="26"/>
          <w:szCs w:val="26"/>
          <w:u w:val="single"/>
        </w:rPr>
      </w:pPr>
      <w:r w:rsidDel="00000000" w:rsidR="00000000" w:rsidRPr="00000000">
        <w:rPr>
          <w:b w:val="1"/>
          <w:sz w:val="26"/>
          <w:szCs w:val="26"/>
          <w:u w:val="single"/>
          <w:rtl w:val="0"/>
        </w:rPr>
        <w:t xml:space="preserve">Listening material</w:t>
      </w:r>
      <w:r w:rsidDel="00000000" w:rsidR="00000000" w:rsidRPr="00000000">
        <w:rPr>
          <w:rtl w:val="0"/>
        </w:rPr>
      </w:r>
    </w:p>
    <w:p w:rsidR="00000000" w:rsidDel="00000000" w:rsidP="00000000" w:rsidRDefault="00000000" w:rsidRPr="00000000" w14:paraId="00000061">
      <w:pPr>
        <w:rPr/>
      </w:pPr>
      <w:r w:rsidDel="00000000" w:rsidR="00000000" w:rsidRPr="00000000">
        <w:rPr>
          <w:i w:val="1"/>
          <w:rtl w:val="0"/>
        </w:rPr>
        <w:t xml:space="preserve">Sanford S, </w:t>
      </w:r>
      <w:r w:rsidDel="00000000" w:rsidR="00000000" w:rsidRPr="00000000">
        <w:rPr>
          <w:rtl w:val="0"/>
        </w:rPr>
        <w:t xml:space="preserve">2018,</w:t>
      </w:r>
      <w:r w:rsidDel="00000000" w:rsidR="00000000" w:rsidRPr="00000000">
        <w:rPr>
          <w:i w:val="1"/>
          <w:rtl w:val="0"/>
        </w:rPr>
        <w:t xml:space="preserve"> “How to design gender bias out of your workplace”, </w:t>
      </w:r>
      <w:r w:rsidDel="00000000" w:rsidR="00000000" w:rsidRPr="00000000">
        <w:rPr>
          <w:rtl w:val="0"/>
        </w:rPr>
        <w:t xml:space="preserve">TedTalks</w:t>
      </w:r>
    </w:p>
    <w:p w:rsidR="00000000" w:rsidDel="00000000" w:rsidP="00000000" w:rsidRDefault="00000000" w:rsidRPr="00000000" w14:paraId="00000062">
      <w:pPr>
        <w:rPr>
          <w:rFonts w:ascii="Arial" w:cs="Arial" w:eastAsia="Arial" w:hAnsi="Arial"/>
        </w:rPr>
      </w:pPr>
      <w:hyperlink r:id="rId11">
        <w:r w:rsidDel="00000000" w:rsidR="00000000" w:rsidRPr="00000000">
          <w:rPr>
            <w:rFonts w:ascii="Arial" w:cs="Arial" w:eastAsia="Arial" w:hAnsi="Arial"/>
            <w:color w:val="1155cc"/>
            <w:u w:val="single"/>
            <w:rtl w:val="0"/>
          </w:rPr>
          <w:t xml:space="preserve">https://www.ted.com/talks/sara_sanford_how_to_design_gender_bias_out_of_your_workplace/transcript?language=en</w:t>
        </w:r>
      </w:hyperlink>
      <w:r w:rsidDel="00000000" w:rsidR="00000000" w:rsidRPr="00000000">
        <w:rPr>
          <w:rtl w:val="0"/>
        </w:rPr>
      </w:r>
    </w:p>
    <w:p w:rsidR="00000000" w:rsidDel="00000000" w:rsidP="00000000" w:rsidRDefault="00000000" w:rsidRPr="00000000" w14:paraId="00000063">
      <w:pPr>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Reading materials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00" w:line="360" w:lineRule="auto"/>
        <w:ind w:left="0" w:firstLine="0"/>
        <w:rPr>
          <w:sz w:val="19"/>
          <w:szCs w:val="19"/>
        </w:rPr>
      </w:pPr>
      <w:r w:rsidDel="00000000" w:rsidR="00000000" w:rsidRPr="00000000">
        <w:rPr>
          <w:sz w:val="19"/>
          <w:szCs w:val="19"/>
          <w:rtl w:val="0"/>
        </w:rPr>
        <w:t xml:space="preserve">Yamaguchi, Kazuo. 2011. “Decomposition of Inequality among Groups through Counterfactual Modeling:An Analysis of the Gender Wage Gap in Japan.”  </w:t>
      </w:r>
      <w:r w:rsidDel="00000000" w:rsidR="00000000" w:rsidRPr="00000000">
        <w:rPr>
          <w:i w:val="1"/>
          <w:sz w:val="19"/>
          <w:szCs w:val="19"/>
          <w:rtl w:val="0"/>
        </w:rPr>
        <w:t xml:space="preserve">Sociological Methodology</w:t>
      </w:r>
      <w:r w:rsidDel="00000000" w:rsidR="00000000" w:rsidRPr="00000000">
        <w:rPr>
          <w:sz w:val="19"/>
          <w:szCs w:val="19"/>
          <w:rtl w:val="0"/>
        </w:rPr>
        <w:t xml:space="preserve"> 43:223-55.</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00" w:line="360" w:lineRule="auto"/>
        <w:ind w:left="0" w:firstLine="0"/>
        <w:rPr>
          <w:sz w:val="19"/>
          <w:szCs w:val="19"/>
        </w:rPr>
      </w:pPr>
      <w:r w:rsidDel="00000000" w:rsidR="00000000" w:rsidRPr="00000000">
        <w:rPr>
          <w:sz w:val="19"/>
          <w:szCs w:val="19"/>
          <w:rtl w:val="0"/>
        </w:rPr>
        <w:t xml:space="preserve">2016. “Determinants of the Gender Gap in the Proportion of Managers among White-Collar Regular Workers in Japan.” </w:t>
      </w:r>
      <w:r w:rsidDel="00000000" w:rsidR="00000000" w:rsidRPr="00000000">
        <w:rPr>
          <w:i w:val="1"/>
          <w:sz w:val="19"/>
          <w:szCs w:val="19"/>
          <w:rtl w:val="0"/>
        </w:rPr>
        <w:t xml:space="preserve">Japan Labor Review</w:t>
      </w:r>
      <w:r w:rsidDel="00000000" w:rsidR="00000000" w:rsidRPr="00000000">
        <w:rPr>
          <w:sz w:val="19"/>
          <w:szCs w:val="19"/>
          <w:rtl w:val="0"/>
        </w:rPr>
        <w:t xml:space="preserve"> 51:7-31.</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00" w:line="360" w:lineRule="auto"/>
        <w:rPr/>
      </w:pPr>
      <w:r w:rsidDel="00000000" w:rsidR="00000000" w:rsidRPr="00000000">
        <w:rPr>
          <w:sz w:val="19"/>
          <w:szCs w:val="19"/>
          <w:rtl w:val="0"/>
        </w:rPr>
        <w:t xml:space="preserve"> Forthcoming. </w:t>
      </w:r>
      <w:r w:rsidDel="00000000" w:rsidR="00000000" w:rsidRPr="00000000">
        <w:rPr>
          <w:i w:val="1"/>
          <w:sz w:val="19"/>
          <w:szCs w:val="19"/>
          <w:rtl w:val="0"/>
        </w:rPr>
        <w:t xml:space="preserve">Gender Inequalities in Japanese Workplace and Employment—Theories and Empirical Evidence </w:t>
      </w:r>
      <w:r w:rsidDel="00000000" w:rsidR="00000000" w:rsidRPr="00000000">
        <w:rPr>
          <w:sz w:val="19"/>
          <w:szCs w:val="19"/>
          <w:rtl w:val="0"/>
        </w:rPr>
        <w:t xml:space="preserve">. Springer. Second paragraph</w:t>
      </w: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00" w:line="360" w:lineRule="auto"/>
        <w:rPr>
          <w:rFonts w:ascii="Arial" w:cs="Arial" w:eastAsia="Arial" w:hAnsi="Arial"/>
          <w:b w:val="1"/>
          <w:color w:val="000000"/>
          <w:sz w:val="46"/>
          <w:szCs w:val="46"/>
        </w:rPr>
      </w:pPr>
      <w:hyperlink r:id="rId12">
        <w:r w:rsidDel="00000000" w:rsidR="00000000" w:rsidRPr="00000000">
          <w:rPr>
            <w:rFonts w:ascii="Arial" w:cs="Arial" w:eastAsia="Arial" w:hAnsi="Arial"/>
            <w:color w:val="1155cc"/>
            <w:u w:val="single"/>
            <w:rtl w:val="0"/>
          </w:rPr>
          <w:t xml:space="preserve">https://www.imf.org/en/Publications/fandd/issues/2019/03/gender-equality-in-japan-yamaguchi</w:t>
        </w:r>
      </w:hyperlink>
      <w:r w:rsidDel="00000000" w:rsidR="00000000" w:rsidRPr="00000000">
        <w:rPr>
          <w:rtl w:val="0"/>
        </w:rPr>
      </w:r>
    </w:p>
    <w:p w:rsidR="00000000" w:rsidDel="00000000" w:rsidP="00000000" w:rsidRDefault="00000000" w:rsidRPr="00000000" w14:paraId="00000068">
      <w:pPr>
        <w:widowControl w:val="0"/>
        <w:spacing w:after="220" w:before="220" w:line="276" w:lineRule="auto"/>
        <w:rPr/>
      </w:pPr>
      <w:r w:rsidDel="00000000" w:rsidR="00000000" w:rsidRPr="00000000">
        <w:rPr>
          <w:rtl w:val="0"/>
        </w:rPr>
        <w:t xml:space="preserve">Japan Data. (2023, August 31). </w:t>
      </w:r>
      <w:r w:rsidDel="00000000" w:rsidR="00000000" w:rsidRPr="00000000">
        <w:rPr>
          <w:i w:val="1"/>
          <w:rtl w:val="0"/>
        </w:rPr>
        <w:t xml:space="preserve">Government target of 30% female managers still far from achieved in Japan</w:t>
      </w:r>
      <w:r w:rsidDel="00000000" w:rsidR="00000000" w:rsidRPr="00000000">
        <w:rPr>
          <w:rtl w:val="0"/>
        </w:rPr>
        <w:t xml:space="preserve">. Ratio of Female Managers Creeps up to 9.8% in Japan. https://www.nippon.com/en/japan-data/h01766/ </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pectral">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Comfortaa">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jc w:val="lef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071">
    <w:pPr>
      <w:widowControl w:val="0"/>
      <w:spacing w:after="220" w:before="220" w:line="276"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before="640" w:line="300" w:lineRule="auto"/>
      <w:rPr>
        <w:rFonts w:ascii="Proxima Nova" w:cs="Proxima Nova" w:eastAsia="Proxima Nova" w:hAnsi="Proxima Nova"/>
        <w:color w:val="666666"/>
        <w:sz w:val="20"/>
        <w:szCs w:val="2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-914399</wp:posOffset>
          </wp:positionH>
          <wp:positionV relativeFrom="paragraph">
            <wp:posOffset>-66674</wp:posOffset>
          </wp:positionV>
          <wp:extent cx="7781925" cy="95250"/>
          <wp:effectExtent b="0" l="0" r="0" t="0"/>
          <wp:wrapTopAndBottom distB="0" distT="0"/>
          <wp:docPr descr="horizontal line" id="1" name="image5.png"/>
          <a:graphic>
            <a:graphicData uri="http://schemas.openxmlformats.org/drawingml/2006/picture">
              <pic:pic>
                <pic:nvPicPr>
                  <pic:cNvPr descr="horizontal line" id="0" name="image5.png"/>
                  <pic:cNvPicPr preferRelativeResize="0"/>
                </pic:nvPicPr>
                <pic:blipFill>
                  <a:blip r:embed="rId1"/>
                  <a:srcRect b="0" l="0" r="0" t="0"/>
                  <a:stretch>
                    <a:fillRect/>
                  </a:stretch>
                </pic:blipFill>
                <pic:spPr>
                  <a:xfrm>
                    <a:off x="0" y="0"/>
                    <a:ext cx="7781925" cy="9525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-919162</wp:posOffset>
          </wp:positionH>
          <wp:positionV relativeFrom="paragraph">
            <wp:posOffset>-66674</wp:posOffset>
          </wp:positionV>
          <wp:extent cx="7781925" cy="509489"/>
          <wp:effectExtent b="0" l="0" r="0" t="0"/>
          <wp:wrapTopAndBottom distB="0" distT="0"/>
          <wp:docPr descr="horizontal line" id="7" name="image2.jpg"/>
          <a:graphic>
            <a:graphicData uri="http://schemas.openxmlformats.org/drawingml/2006/picture">
              <pic:pic>
                <pic:nvPicPr>
                  <pic:cNvPr descr="horizontal line" id="0" name="image2.jpg"/>
                  <pic:cNvPicPr preferRelativeResize="0"/>
                </pic:nvPicPr>
                <pic:blipFill>
                  <a:blip r:embed="rId2"/>
                  <a:srcRect b="49655" l="0" r="0" t="49655"/>
                  <a:stretch>
                    <a:fillRect/>
                  </a:stretch>
                </pic:blipFill>
                <pic:spPr>
                  <a:xfrm>
                    <a:off x="0" y="0"/>
                    <a:ext cx="7781925" cy="509489"/>
                  </a:xfrm>
                  <a:prstGeom prst="rect"/>
                  <a:ln/>
                </pic:spPr>
              </pic:pic>
            </a:graphicData>
          </a:graphic>
        </wp:anchor>
      </w:drawing>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line="300" w:lineRule="auto"/>
      <w:rPr>
        <w:color w:val="666666"/>
        <w:sz w:val="20"/>
        <w:szCs w:val="20"/>
      </w:rPr>
    </w:pPr>
    <w:r w:rsidDel="00000000" w:rsidR="00000000" w:rsidRPr="00000000">
      <w:rPr>
        <w:rFonts w:ascii="Proxima Nova" w:cs="Proxima Nova" w:eastAsia="Proxima Nova" w:hAnsi="Proxima Nova"/>
        <w:color w:val="666666"/>
        <w:sz w:val="20"/>
        <w:szCs w:val="20"/>
      </w:rPr>
      <w:drawing>
        <wp:inline distB="114300" distT="114300" distL="114300" distR="114300">
          <wp:extent cx="447675" cy="57150"/>
          <wp:effectExtent b="0" l="0" r="0" t="0"/>
          <wp:docPr descr="short line" id="4" name="image6.jpg"/>
          <a:graphic>
            <a:graphicData uri="http://schemas.openxmlformats.org/drawingml/2006/picture">
              <pic:pic>
                <pic:nvPicPr>
                  <pic:cNvPr descr="short line" id="0" name="image6.jpg"/>
                  <pic:cNvPicPr preferRelativeResize="0"/>
                </pic:nvPicPr>
                <pic:blipFill>
                  <a:blip r:embed="rId3"/>
                  <a:srcRect b="46409" l="0" r="0" t="46409"/>
                  <a:stretch>
                    <a:fillRect/>
                  </a:stretch>
                </pic:blipFill>
                <pic:spPr>
                  <a:xfrm>
                    <a:off x="0" y="0"/>
                    <a:ext cx="447675" cy="5715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-1068504</wp:posOffset>
          </wp:positionH>
          <wp:positionV relativeFrom="paragraph">
            <wp:posOffset>-66674</wp:posOffset>
          </wp:positionV>
          <wp:extent cx="7781925" cy="866330"/>
          <wp:effectExtent b="0" l="0" r="0" t="0"/>
          <wp:wrapNone/>
          <wp:docPr descr="footer" id="6" name="image3.jpg"/>
          <a:graphic>
            <a:graphicData uri="http://schemas.openxmlformats.org/drawingml/2006/picture">
              <pic:pic>
                <pic:nvPicPr>
                  <pic:cNvPr descr="footer" id="0" name="image3.jpg"/>
                  <pic:cNvPicPr preferRelativeResize="0"/>
                </pic:nvPicPr>
                <pic:blipFill>
                  <a:blip r:embed="rId1"/>
                  <a:srcRect b="48520" l="0" r="0" t="48520"/>
                  <a:stretch>
                    <a:fillRect/>
                  </a:stretch>
                </pic:blipFill>
                <pic:spPr>
                  <a:xfrm>
                    <a:off x="0" y="0"/>
                    <a:ext cx="7781925" cy="866330"/>
                  </a:xfrm>
                  <a:prstGeom prst="rect"/>
                  <a:ln/>
                </pic:spPr>
              </pic:pic>
            </a:graphicData>
          </a:graphic>
        </wp:anchor>
      </w:drawing>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before="64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sz w:val="22"/>
        <w:szCs w:val="22"/>
        <w:lang w:val="en"/>
      </w:rPr>
    </w:rPrDefault>
    <w:pPrDefault>
      <w:pPr>
        <w:spacing w:before="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Rule="auto"/>
    </w:pPr>
    <w:rPr>
      <w:color w:val="039be5"/>
      <w:sz w:val="36"/>
      <w:szCs w:val="36"/>
    </w:rPr>
  </w:style>
  <w:style w:type="paragraph" w:styleId="Heading2">
    <w:name w:val="heading 2"/>
    <w:basedOn w:val="Normal"/>
    <w:next w:val="Normal"/>
    <w:pPr>
      <w:keepNext w:val="1"/>
      <w:keepLines w:val="1"/>
      <w:pageBreakBefore w:val="0"/>
    </w:pPr>
    <w:rPr>
      <w:color w:val="e61a17"/>
      <w:sz w:val="28"/>
      <w:szCs w:val="28"/>
    </w:rPr>
  </w:style>
  <w:style w:type="paragraph" w:styleId="Heading3">
    <w:name w:val="heading 3"/>
    <w:basedOn w:val="Normal"/>
    <w:next w:val="Normal"/>
    <w:pPr>
      <w:keepNext w:val="1"/>
      <w:keepLines w:val="1"/>
      <w:pageBreakBefore w:val="0"/>
    </w:pPr>
    <w:rPr>
      <w:color w:val="008a05"/>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440" w:line="240" w:lineRule="auto"/>
    </w:pPr>
    <w:rPr>
      <w:rFonts w:ascii="Proxima Nova" w:cs="Proxima Nova" w:eastAsia="Proxima Nova" w:hAnsi="Proxima Nova"/>
      <w:b w:val="1"/>
      <w:color w:val="404040"/>
      <w:sz w:val="96"/>
      <w:szCs w:val="96"/>
    </w:rPr>
  </w:style>
  <w:style w:type="paragraph" w:styleId="Subtitle">
    <w:name w:val="Subtitle"/>
    <w:basedOn w:val="Normal"/>
    <w:next w:val="Normal"/>
    <w:pPr>
      <w:keepNext w:val="1"/>
      <w:keepLines w:val="1"/>
      <w:pageBreakBefore w:val="0"/>
      <w:spacing w:after="200" w:lineRule="auto"/>
    </w:pPr>
    <w:rPr>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ed.com/talks/sara_sanford_how_to_design_gender_bias_out_of_your_workplace/transcript?language=en" TargetMode="External"/><Relationship Id="rId10" Type="http://schemas.openxmlformats.org/officeDocument/2006/relationships/image" Target="media/image1.png"/><Relationship Id="rId13" Type="http://schemas.openxmlformats.org/officeDocument/2006/relationships/header" Target="header1.xml"/><Relationship Id="rId12" Type="http://schemas.openxmlformats.org/officeDocument/2006/relationships/hyperlink" Target="https://www.imf.org/en/Publications/fandd/issues/2019/03/gender-equality-in-japan-yamaguch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ted.com/talks/sara_sanford_how_to_design_gender_bias_out_of_your_workplace/transcript?language=en" TargetMode="External"/><Relationship Id="rId8" Type="http://schemas.openxmlformats.org/officeDocument/2006/relationships/hyperlink" Target="https://www.ted.com/talks/sara_sanford_how_to_design_gender_bias_out_of_your_workplace/transcript?language=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0" Type="http://schemas.openxmlformats.org/officeDocument/2006/relationships/font" Target="fonts/Comfortaa-bold.ttf"/><Relationship Id="rId9" Type="http://schemas.openxmlformats.org/officeDocument/2006/relationships/font" Target="fonts/Comfortaa-regular.ttf"/><Relationship Id="rId5" Type="http://schemas.openxmlformats.org/officeDocument/2006/relationships/font" Target="fonts/Spectral-regular.ttf"/><Relationship Id="rId6" Type="http://schemas.openxmlformats.org/officeDocument/2006/relationships/font" Target="fonts/Spectral-bold.ttf"/><Relationship Id="rId7" Type="http://schemas.openxmlformats.org/officeDocument/2006/relationships/font" Target="fonts/Spectral-italic.ttf"/><Relationship Id="rId8" Type="http://schemas.openxmlformats.org/officeDocument/2006/relationships/font" Target="fonts/Spectra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jpg"/><Relationship Id="rId3"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